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1D3BE" w14:textId="05C85D88" w:rsidR="009D42B3" w:rsidRPr="009D42B3" w:rsidRDefault="009D42B3" w:rsidP="009D42B3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9D42B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Постановка на очередь детей дошкольного возраста (до 6</w:t>
      </w:r>
      <w:r w:rsidRPr="009D42B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-7</w:t>
      </w:r>
      <w:r w:rsidRPr="009D42B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лет) для направления в дошкольные организации.</w:t>
      </w:r>
    </w:p>
    <w:p w14:paraId="71601091" w14:textId="029A1758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В соответствии с </w:t>
      </w:r>
      <w:hyperlink r:id="rId5" w:anchor="z44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Законом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Республики Казахстан от 23 января 2001 года «О местном государственном управлении и самоуправлении в Республике Казахстан», </w:t>
      </w:r>
      <w:hyperlink r:id="rId6" w:anchor="z35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с пунктом 3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статьи 16 Закона Республики Казахстан от 15 апреля 2013 года «О государственных услугах» и </w:t>
      </w:r>
      <w:hyperlink r:id="rId7" w:anchor="z47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постановлением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Правительства Республики Казахстан от 31 августа 2012 года № 1119 «Об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науки» акимат города Алматы </w:t>
      </w:r>
      <w:r w:rsidRPr="009D42B3">
        <w:rPr>
          <w:rFonts w:ascii="Times New Roman" w:hAnsi="Times New Roman" w:cs="Times New Roman"/>
          <w:b/>
          <w:bCs/>
          <w:sz w:val="24"/>
          <w:szCs w:val="24"/>
          <w:lang w:val="ru-KZ"/>
        </w:rPr>
        <w:t>ПОСТАНОВЛЯЕТ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t>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0" w:name="z1"/>
      <w:bookmarkEnd w:id="0"/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1. Утвердить прилагаемый </w:t>
      </w:r>
      <w:hyperlink r:id="rId8" w:anchor="z7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регламент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электронной государственной услуги «Постановка на очередь детей дошкольного возраста (до 7 лет) для направления в детские дошкольные организации».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" w:name="z2"/>
      <w:bookmarkEnd w:id="1"/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2. Управлению образования города Алматы обеспечить государственную регистрацию данного постановления в органах юстиции, его официальное опубликование в средствах массовой информации и размещение на интернет-ресурсе акимата города Алматы.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2" w:name="z3"/>
      <w:bookmarkEnd w:id="2"/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3. Контроль за исполнением настоящего постановления возложить на заместителя акима города Алматы З. Аманжолову.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 w14:paraId="0D687620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  </w:t>
      </w:r>
      <w:r w:rsidRPr="009D42B3">
        <w:rPr>
          <w:rFonts w:ascii="Times New Roman" w:hAnsi="Times New Roman" w:cs="Times New Roman"/>
          <w:i/>
          <w:iCs/>
          <w:sz w:val="24"/>
          <w:szCs w:val="24"/>
          <w:lang w:val="ru-KZ"/>
        </w:rPr>
        <w:t>Аким города Алматы               А. Есимов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1"/>
        <w:gridCol w:w="4779"/>
      </w:tblGrid>
      <w:tr w:rsidR="009D42B3" w:rsidRPr="009D42B3" w14:paraId="1424C5C3" w14:textId="77777777">
        <w:tc>
          <w:tcPr>
            <w:tcW w:w="3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886F61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Вносит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</w:tc>
        <w:tc>
          <w:tcPr>
            <w:tcW w:w="1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25E090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48B5A3A7" w14:textId="77777777">
        <w:tc>
          <w:tcPr>
            <w:tcW w:w="3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C38E53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Руководитель Управления образования города Алматы</w:t>
            </w:r>
          </w:p>
        </w:tc>
        <w:tc>
          <w:tcPr>
            <w:tcW w:w="1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7E0BE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Р. </w:t>
            </w:r>
            <w:proofErr w:type="spellStart"/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Шимашева</w:t>
            </w:r>
            <w:proofErr w:type="spellEnd"/>
          </w:p>
        </w:tc>
      </w:tr>
      <w:tr w:rsidR="009D42B3" w:rsidRPr="009D42B3" w14:paraId="6019C8E7" w14:textId="77777777">
        <w:tc>
          <w:tcPr>
            <w:tcW w:w="3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541435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Согласовано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</w:tc>
        <w:tc>
          <w:tcPr>
            <w:tcW w:w="1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982D96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5CDA50E0" w14:textId="77777777">
        <w:tc>
          <w:tcPr>
            <w:tcW w:w="3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D37F5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Заместитель акима города Алматы</w:t>
            </w:r>
          </w:p>
        </w:tc>
        <w:tc>
          <w:tcPr>
            <w:tcW w:w="1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89D60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З. Аманжолова</w:t>
            </w:r>
          </w:p>
        </w:tc>
      </w:tr>
      <w:tr w:rsidR="009D42B3" w:rsidRPr="009D42B3" w14:paraId="22273E64" w14:textId="77777777">
        <w:tc>
          <w:tcPr>
            <w:tcW w:w="3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5D9BE2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Руководитель юридического отдела аппарата акима города Алматы</w:t>
            </w:r>
          </w:p>
        </w:tc>
        <w:tc>
          <w:tcPr>
            <w:tcW w:w="1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320645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А. Касымова</w:t>
            </w:r>
          </w:p>
        </w:tc>
      </w:tr>
      <w:tr w:rsidR="009D42B3" w:rsidRPr="009D42B3" w14:paraId="2DFB03F6" w14:textId="77777777">
        <w:tc>
          <w:tcPr>
            <w:tcW w:w="3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913414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Руководитель отдела контроля за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соблюдением качества предоставления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государственных услуг</w:t>
            </w:r>
          </w:p>
        </w:tc>
        <w:tc>
          <w:tcPr>
            <w:tcW w:w="1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87D47C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М. </w:t>
            </w:r>
            <w:proofErr w:type="spellStart"/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Суюндуков</w:t>
            </w:r>
            <w:proofErr w:type="spellEnd"/>
          </w:p>
          <w:p w14:paraId="44EF5E21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Скачать</w:t>
            </w:r>
          </w:p>
        </w:tc>
      </w:tr>
    </w:tbl>
    <w:p w14:paraId="11D3C465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Утвержден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постановлением акимата города Алматы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от 03 июля 2013 года № 3/568</w:t>
      </w:r>
    </w:p>
    <w:p w14:paraId="042209DF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Регламент электронной государственной услуги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«Постановка на очередь детей дошкольного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возраста (до 7 лет) для направления в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детские дошкольные организации»</w:t>
      </w:r>
    </w:p>
    <w:p w14:paraId="28E165D0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1. Общие положения</w:t>
      </w:r>
    </w:p>
    <w:p w14:paraId="6A0BA012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      1. Электронная государственная услуга «Постановка на очередь детей дошкольного возраста (до 7 лет) для направления в детские дошкольные организации» (далее – электронная государственная услуга) оказывается коммунальным государственным учреждением «Управление образования города Алматы» (далее –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), через Центры обслуживания населения (далее – Центр), а также через веб-портал «электронного правительства» www.egov.kz.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2. Степень автоматизации электронной государственной услуги: частично автоматизированная.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3. Вид оказания электронной государственной услуги: транзакционная.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4. Государственная услуга оказывается в соответствии </w:t>
      </w:r>
      <w:hyperlink r:id="rId9" w:anchor="z74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подпунктом 2)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пункта 3 статьи 6 Закона Республики Казахстан от 27 июля 2007 года  «Об образовании», </w:t>
      </w:r>
      <w:hyperlink r:id="rId10" w:anchor="z179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статьи 29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Закона Республики Казахстан от 11 января 2007 года «Об информатизации», стандартом государственной услуги «Постановка на очередь детей дошкольного возраста (до 7 лет) для направления в детские дошкольные организации», утвержденного </w:t>
      </w:r>
      <w:hyperlink r:id="rId11" w:anchor="z47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постановлением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Правительства Республики Казахстан от 31 августа 2012 года № 1119 (далее – Стандарт).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5. Результатом оказываемой государственной услуги являются выдача направления в детскую дошкольную организацию, согласно </w:t>
      </w:r>
      <w:hyperlink r:id="rId12" w:anchor="z22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приложению 3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Регламенту, в случае отсутствия мест в дошкольной организации, уведомления о постановке на очередь, согласно  </w:t>
      </w:r>
      <w:hyperlink r:id="rId13" w:anchor="z28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приложению 4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 с указанием номера очередности в форме электронного документа, подписанного электронной цифровой подписью уполномоченного лица уполномоченного органа либо мотивированный ответ об отказе в предоставлении государственной услуги в форме электронного документа.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6. Государственная услуга оказывается физическим лицам (далее -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).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Данная услуга ограничивается количеством имеющихся мест в дошкольных организациях.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На право получения первоочередного места имеют: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1) дети инвалидов;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дети, оставшиеся без попечения родителей;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3) дети-сироты;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4) дети из многодетных семей;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5) дети лиц, приравненных по льготам и гарантиям к участникам войны и к инвалидам войны.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7. Сроки оказания государственной услуги: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При обращении в Центр: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1) сроки оказания государственной услуги с момента обращения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государственной услуги составляют 3 рабочих дня (день приема и день выдачи документов не входит в срок оказания государственной услуги);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максимально допустимое время ожидания в очереди при сдаче необходимых документов – не более 20 минут;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3) максимально допустимое время обслуживания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государственной услуги в день обращения – не более 20 минут;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4) максимально допустимое время ожидания в очереди при получении справки или мотивированного ответа об отказе – не более 20 минут.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      При обращении через портал сроки оказания государственной услуги с момента обращения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государственной услуги составляют три рабочих дня.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8. Государственная услуга оказывается бесплатно.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9. График работы: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1) при обращении в центр – государственная услуга оказывается за исключением выходных и праздничных дней, согласно трудовому законодательству, в соответствии с установленным графиком работы с 9.00 часов до 20.00 часов без перерыва.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Прием осуществляется в порядке «электронной очереди» без ускоренного обслуживания. Мобильные центры осуществляют прием документов согласно утвержденным центром графиком, но не менее шести рабочих часов в одном населенном пункте;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на портале - круглосуточно.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10. Для получения государственной услуги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представляет  документы согласно </w:t>
      </w:r>
      <w:hyperlink r:id="rId14" w:anchor="z87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пункту 11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Стандарта.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11. Порядок обжалования указано в </w:t>
      </w:r>
      <w:hyperlink r:id="rId15" w:anchor="z149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разделе 5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Стандарта.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12. Понятия и сокращения, используемые в настоящем регламенте электронной государственной услуги «Постановка на очередь детей дошкольного возраста (до 7 лет) для направления в детские дошкольные организации» (далее – Регламент):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1) АРМ – автоматизированное рабочее место;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информационная система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 (далее – ИС);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3)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– физическое лицо;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4) единая нотариальная информационная система - это аппаратно-программный комплекс, предназначенный для автоматизации нотариальной деятельности и взаимодействия органов юстиции и нотариальных палат (далее - ЕНИС);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5) индивидуальный идентификационный номер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 (далее – ИИН);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6) ГБД ФЛ – государственная база данных «Физические лица»;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7) пользователь – субъект, обращающийся к информационной системе за получением необходимых ему электронных информационных ресурсов и пользующийся ими;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8)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9) информационная система центров обслуживания населения Республики Казахстан – информационная система, предназначенная для автоматизации процесса предоставления услуг населению (физическим и юридическим лицам) через центры обслуживания населения Республики Казахстан, а также соответствующими министерствами и ведомствами (далее – ИС ЦОН);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10) электронный документ – документ, в котором информация представлена в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электронно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–цифровой форме и удостоверена посредством ЭЦП;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11) электронная государственная услуга – государственная услуга, оказываемая в электронной форме с применением информационных технологий;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12) веб–портал «электронного правительства»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 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(далее – ПЭП);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13) региональный шлюз «электронного правительства» – подсистема шлюза «электронного правительства», предназначенная для интеграции информационных систем «электронного акимата» в рамках реализации электронных услуг (далее - РШЭП);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14) шлюз «электронного правительства» – информационная система, предназначенная для интеграции информационных систем «электронного правительства» в рамках реализации электронных услуг (далее – ШЭП);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15) электронная цифровая подпись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– ЭЦП).</w:t>
      </w:r>
    </w:p>
    <w:p w14:paraId="5B08C5A1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2. Порядок деятельности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по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оказанию электронной государственной услуги</w:t>
      </w:r>
    </w:p>
    <w:p w14:paraId="7A928B53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13. Пошаговые действия и решения через ПЭП (диаграмма № 1 функционального взаимодействия) при оказании электронной государственной услуги приведены в </w:t>
      </w:r>
      <w:hyperlink r:id="rId16" w:anchor="z18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2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1)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осуществляет регистрацию на ПЭП с помощью ИИН и пароля (осуществляется для незарегистрированных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услугополучателей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на ПЭП);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2) процесс 1 – ввод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ИИН и пароля (процесс авторизации) на ПЭП для получения электронной государственной услуги;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3) условие 1 – проверка на ПЭП подлинности данных о зарегистрированном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через ИИН и пароль;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4) процесс 2 – формирование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ПЭПом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сообщения об отказе в авторизации в связи с имеющимися нарушениями в данных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5) процесс 3 – выбор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заполнение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указанные в </w:t>
      </w:r>
      <w:hyperlink r:id="rId17" w:anchor="z87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пункте 11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Стандарта, а также выбор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регистрационного свидетельства ЭЦП для удостоверения (подписания) запроса;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6) условие 2 – проверка на ПЭП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запросе, и ИИН указанным в регистрационном свидетельстве ЭЦП);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7) процесс 4 – формирование сообщения об отказе в запрашиваемой электронной государственной услуге в связи с не подтверждением подлинности ЭЦП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8) процесс 5 – удостоверение запроса для оказания электронной государственной услуги посредством ЭЦП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и направление электронного документа (запроса) через ШЭП в АРМ РШЭП для обработки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9) процесс 6 – регистрация электронного документа в АРМ РШЭП;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10) условие 3 – проверка (обработка)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соответствия приложенных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документов, указанных в Стандарте и основаниям для оказания электронной государственной услуги;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11) процесс 7 - формирование сообщения об отказе в запрашиваемой электронной государственной услуге в связи с имеющимися нарушениями в документах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      12) процесс 8 – получение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результата услуги (уведомления в форме электронного документа), сформированного АРМ РШЭП. Электронный документ формируется с использованием ЭЦП сотрудника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14. Пошаговые действия и решения через Центр (диаграмма № 2 функционального взаимодействия) при оказании услуги приведены в </w:t>
      </w:r>
      <w:hyperlink r:id="rId18" w:anchor="z18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2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1) процесс 1 – ввод оператором Центра в АРМ ИС ЦОН логина и пароля (процесс авторизации) для оказания электронной государственной услуги;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2) процесс 2 – выбор оператором Центра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ввод оператором Центра данных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, а также данных по доверенности представителя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(при нотариально удостоверенной доверенности, при ином удостоверении доверенности данные доверенности не заполняются);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3) процесс 3 – направление запроса через ШЭП в ГБД ФЛ о данных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, а также в ЕНИС – о данных доверенности представителя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4) условие 1 – проверка наличия данных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в ГБД ФЛ, данных доверенности в ЕНИС;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5) процесс 4 – формирование сообщения о невозможности получения данных в связи с отсутствием данных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в ГБД ФЛ, данных доверенности в ЕНИС;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6) процесс 5 – заполнение оператором Центра формы запроса в части отметки о наличии документов в бумажной форме и сканирование документов, предоставленных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, прикрепление их к форме запроса и удостоверение посредством ЭЦП заполненной формы (введенных данных) запроса на оказание электронной государственной услуги;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7) процесс 6 – направление электронного документа (запроса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), удостоверенного (подписанного) ЭЦП оператора Центра через ШЭП в АРМ РШЭП;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8) процесс 7 – регистрация электронного документа в АРМ РШЭП;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9) условие 2 – проверка (обработка)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соответствия приложенных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документов, указанных в </w:t>
      </w:r>
      <w:hyperlink r:id="rId19" w:anchor="z87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Стандарте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и основаниям для оказания электронной государственной услуги;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10) процесс 8 – формирование сообщения об отказе в запрашиваемой электронной государственной услуге в связи с имеющимися нарушениями в документах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11) процесс 9 – получение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через оператора Центра результата электронной государственной услуги (уведомления в форме электронного документа), сформированного АРМ РШЭП.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15. Формы заполнения запроса и ответа на электронную государственную услугу приведены на веб-портале «электронного правительства» www.egov.kz, а также в Центре.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16. Способ проверки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Центр.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17. Необходимую информацию и консультацию по оказанию электронной государственной услуги можно получить по телефону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саll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–центра ПЭП: (1414).</w:t>
      </w:r>
    </w:p>
    <w:p w14:paraId="62F7E730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3. Описание порядка взаимодействия в процессе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оказания электронной государственной услуги</w:t>
      </w:r>
    </w:p>
    <w:p w14:paraId="5B6CF5FA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      18. Структурно-функциональные единицы (далее – СФЕ), которые участвуют в процессе оказания электронной государственной услуги: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1)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Центр.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19. Текстовое табличное описание последовательности действий (процедур, функций, операций) с указанием срока выполнения каждого действия приведены в </w:t>
      </w:r>
      <w:hyperlink r:id="rId20" w:anchor="z14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1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20. Диаграммы, отражающие взаимосвязь между логической последовательностью действий (в процессе оказания электронной государственной услуги) в соответствии с их описаниями, приведены в </w:t>
      </w:r>
      <w:hyperlink r:id="rId21" w:anchor="z18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2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21. Заявление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о регистрации ребенка дошкольного возраста для направления в дошкольную организацию согласно </w:t>
      </w:r>
      <w:hyperlink r:id="rId22" w:anchor="z31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приложения 5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22. Результаты оказания государственной услуги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измеряются показателями качества и эффективности в соответствии с </w:t>
      </w:r>
      <w:hyperlink r:id="rId23" w:anchor="z36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приложением 6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23. Требования, предъявляемые к процессу оказания электронной государственной услуги </w:t>
      </w:r>
      <w:proofErr w:type="spellStart"/>
      <w:r w:rsidRPr="009D42B3">
        <w:rPr>
          <w:rFonts w:ascii="Times New Roman" w:hAnsi="Times New Roman" w:cs="Times New Roman"/>
          <w:sz w:val="24"/>
          <w:szCs w:val="24"/>
          <w:lang w:val="ru-KZ"/>
        </w:rPr>
        <w:t>услугополучателям</w:t>
      </w:r>
      <w:proofErr w:type="spellEnd"/>
      <w:r w:rsidRPr="009D42B3">
        <w:rPr>
          <w:rFonts w:ascii="Times New Roman" w:hAnsi="Times New Roman" w:cs="Times New Roman"/>
          <w:sz w:val="24"/>
          <w:szCs w:val="24"/>
          <w:lang w:val="ru-KZ"/>
        </w:rPr>
        <w:t>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1) конфиденциальность (защита от несанкционированного получения информации);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целостность (защита от несанкционированного изменения информации);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3) доступность (защита от несанкционированного удержания информации и ресурсов).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24. Технические условия оказания электронной государственной услуги: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1) выход в Интернет;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2) наличие ИИН у лица, которому оказывается электронная государственная услуга;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3) авторизация с ПЭП;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4) наличие пользователя ЭЦП.</w:t>
      </w:r>
    </w:p>
    <w:p w14:paraId="7E2553FB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Приложение 1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«Постановка на очередь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(до 7 лет) для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направления в детские дошкольные организации»</w:t>
      </w:r>
    </w:p>
    <w:p w14:paraId="7913AE0E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Таблица 1. Описание действий СФЕ через ПЭП</w:t>
      </w:r>
    </w:p>
    <w:p w14:paraId="03094241" w14:textId="3E6F591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drawing>
          <wp:inline distT="0" distB="0" distL="0" distR="0" wp14:anchorId="5296108F" wp14:editId="0B8D151B">
            <wp:extent cx="5940425" cy="3086735"/>
            <wp:effectExtent l="0" t="0" r="3175" b="0"/>
            <wp:docPr id="68776368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F7223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Таблица 2. Описание действий СФЕ через Центр</w:t>
      </w:r>
    </w:p>
    <w:p w14:paraId="3E0A56E0" w14:textId="572316DD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drawing>
          <wp:inline distT="0" distB="0" distL="0" distR="0" wp14:anchorId="62061218" wp14:editId="39C50A26">
            <wp:extent cx="5940425" cy="2884805"/>
            <wp:effectExtent l="0" t="0" r="3175" b="0"/>
            <wp:docPr id="10353646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395A9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      Примечание: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В данных таблицах перечисляются действия (функции, процедуры, операции) всех СФЕ с указанием форм завершения, сроков исполнения и указанием номеров последующих действий в технологической цепочке процесса оказания электронной государственной услуги.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На основании таблиц </w:t>
      </w:r>
      <w:hyperlink r:id="rId26" w:anchor="z14" w:history="1">
        <w:r w:rsidRPr="009D42B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приложения 1</w:t>
        </w:r>
      </w:hyperlink>
      <w:r w:rsidRPr="009D42B3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 строятся диаграммы функционального взаимодействия при оказании электронных государственных услуг.</w:t>
      </w:r>
    </w:p>
    <w:p w14:paraId="5D813668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Приложение 2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«Постановка на очередь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(до 7 лет) для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направления в детские дошкольные организации»</w:t>
      </w:r>
    </w:p>
    <w:p w14:paraId="41110E98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Рисунок 1. Диаграмма  № 1 функционального взаимодействия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при оказании электронной государственной услуги через ПЭП</w:t>
      </w:r>
    </w:p>
    <w:p w14:paraId="4669BCC1" w14:textId="667EFB52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drawing>
          <wp:inline distT="0" distB="0" distL="0" distR="0" wp14:anchorId="1DF0FBE3" wp14:editId="3B668166">
            <wp:extent cx="5940425" cy="2945130"/>
            <wp:effectExtent l="0" t="0" r="3175" b="7620"/>
            <wp:docPr id="10240671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024A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Рисунок 2. Диаграмма № 2 функционального взаимодействия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при оказании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через Центр</w:t>
      </w:r>
    </w:p>
    <w:p w14:paraId="4713CA57" w14:textId="7F79443A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drawing>
          <wp:inline distT="0" distB="0" distL="0" distR="0" wp14:anchorId="40FBECC9" wp14:editId="010A33FE">
            <wp:extent cx="5940425" cy="3107055"/>
            <wp:effectExtent l="0" t="0" r="3175" b="0"/>
            <wp:docPr id="70421158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6564D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Таблица. Условные обозначения</w:t>
      </w:r>
    </w:p>
    <w:p w14:paraId="6E69BAFC" w14:textId="136CEFB5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drawing>
          <wp:inline distT="0" distB="0" distL="0" distR="0" wp14:anchorId="1BB7B323" wp14:editId="4B65975F">
            <wp:extent cx="4352925" cy="3076575"/>
            <wp:effectExtent l="0" t="0" r="9525" b="9525"/>
            <wp:docPr id="13522667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74EC7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Приложение 3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«Постановка на очередь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(до 7 лет) для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направления в детские дошкольные организации»</w:t>
      </w:r>
    </w:p>
    <w:p w14:paraId="09D6249A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НАПРАВЛЕНИЕ № 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для зачисления ребенка в дошкольную организацию</w:t>
      </w:r>
    </w:p>
    <w:p w14:paraId="7746E888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Управление образования города Алматы направляет в дошкольную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организацию № _________, расположенную по адресу: г. ___________,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ул. ____________________________________________________________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Фамилия, имя, отчество ребенка: 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Дата рождения: 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Домашний адрес ребенка: 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Направление должно быть представлено в дошкольную организацию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в течение 5 дней со дня ее выдачи.</w:t>
      </w:r>
    </w:p>
    <w:p w14:paraId="76539945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   Направление выдано «_______» 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9D42B3">
        <w:rPr>
          <w:rFonts w:ascii="Times New Roman" w:hAnsi="Times New Roman" w:cs="Times New Roman"/>
          <w:b/>
          <w:bCs/>
          <w:sz w:val="24"/>
          <w:szCs w:val="24"/>
          <w:lang w:val="ru-KZ"/>
        </w:rPr>
        <w:t>------------------------------------------------------------</w:t>
      </w:r>
    </w:p>
    <w:p w14:paraId="002BF39E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 Руководитель Управления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 образования города Алматы                  /ФИО/</w:t>
      </w:r>
    </w:p>
    <w:p w14:paraId="312D9824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(расшифровка подписи)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Печать</w:t>
      </w:r>
    </w:p>
    <w:p w14:paraId="3D326935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Приложение 4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«Постановка на очередь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(до 7 лет) для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направления в детские дошкольные организации»</w:t>
      </w:r>
    </w:p>
    <w:p w14:paraId="51FAED18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Форма уведомления о регистрации ребенка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для направления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в дошкольную организацию</w:t>
      </w:r>
    </w:p>
    <w:p w14:paraId="22669F91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Уведомление о регистрации ребенка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Настоящее уведомление выдано 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                                           (ФИО родителя)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В том, что 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                             (ФИО ребенка)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Поставлен (а) на очередь в «Журнале регистрации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для направления в дошкольные организации» за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№ _____, от «___» __________20____года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Потребители, стоящие в очереди на получение места в дошкольную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организацию, имеют возможность осуществлять контроль продвижения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своей очередности в соответствии с графиком работы (отдел, акимат),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а также через электронный портал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(специалист управления образования)</w:t>
      </w:r>
    </w:p>
    <w:p w14:paraId="56043C17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Приложение 5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«Постановка на очередь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(до 7 лет) для направления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в детские дошкольные организации»</w:t>
      </w:r>
    </w:p>
    <w:p w14:paraId="7B8223F4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Форма заявления регистрации ребенка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для направления в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дошкольную организацию</w:t>
      </w:r>
    </w:p>
    <w:p w14:paraId="4AAA5388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Руководителю Управления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образования города Алматы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от 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(фамилия, имя, отчество)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проживающего по адресу: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тел._________________________</w:t>
      </w:r>
    </w:p>
    <w:p w14:paraId="0353670B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Заявление</w:t>
      </w:r>
    </w:p>
    <w:p w14:paraId="31A4D448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      Прошу поставить на очередь для получения места в дошкольной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организации № ______________, моего ребенка 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дата рождения ______________________________________________________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Прилагаю документы, подтверждающие право на первоочередное направление в дошкольную организацию 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lastRenderedPageBreak/>
        <w:t>____________________________________________________________________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Место работы родителей: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матери - _____________________________________________________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отца - _______________________________________________________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Дата _________________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      Подпись ______________</w:t>
      </w:r>
    </w:p>
    <w:p w14:paraId="1B70AC59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Приложение 6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электронной государственной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услуги «Постановка на очередь детей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дошкольного возраста (до 7 лет) для направления</w:t>
      </w:r>
      <w:r w:rsidRPr="009D42B3">
        <w:rPr>
          <w:rFonts w:ascii="Times New Roman" w:hAnsi="Times New Roman" w:cs="Times New Roman"/>
          <w:sz w:val="24"/>
          <w:szCs w:val="24"/>
          <w:lang w:val="ru-KZ"/>
        </w:rPr>
        <w:br/>
        <w:t>в детские дошкольные организации»</w:t>
      </w:r>
    </w:p>
    <w:p w14:paraId="4C9082CF" w14:textId="77777777" w:rsidR="009D42B3" w:rsidRPr="009D42B3" w:rsidRDefault="009D42B3" w:rsidP="009D42B3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9D42B3">
        <w:rPr>
          <w:rFonts w:ascii="Times New Roman" w:hAnsi="Times New Roman" w:cs="Times New Roman"/>
          <w:sz w:val="24"/>
          <w:szCs w:val="24"/>
          <w:lang w:val="ru-KZ"/>
        </w:rPr>
        <w:t>Таблица. Значения показателей качества и эффективности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0"/>
        <w:gridCol w:w="1928"/>
        <w:gridCol w:w="2495"/>
        <w:gridCol w:w="3107"/>
      </w:tblGrid>
      <w:tr w:rsidR="009D42B3" w:rsidRPr="009D42B3" w14:paraId="13236563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F72D0B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Показатели качества и эффективности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7E3C6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Норма-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  <w:proofErr w:type="spellStart"/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тивное</w:t>
            </w:r>
            <w:proofErr w:type="spellEnd"/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значение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показа-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теля</w:t>
            </w: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3A0889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Целевое значение показателя в последующем году</w:t>
            </w: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662EEF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Текущее значение показателя в отчетном году</w:t>
            </w:r>
          </w:p>
        </w:tc>
      </w:tr>
      <w:tr w:rsidR="009D42B3" w:rsidRPr="009D42B3" w14:paraId="3ECFC17E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54348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230377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48ABB2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EF9FBB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</w:tr>
      <w:tr w:rsidR="009D42B3" w:rsidRPr="009D42B3" w14:paraId="5E89FF60" w14:textId="77777777">
        <w:trPr>
          <w:trHeight w:val="570"/>
        </w:trPr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3EE2A7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 Своевременность</w:t>
            </w:r>
          </w:p>
        </w:tc>
      </w:tr>
      <w:tr w:rsidR="009D42B3" w:rsidRPr="009D42B3" w14:paraId="3BF0280F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16F67D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1.1. % (доля) случаев предоставления услуги в установленный срок с момента сдачи документа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FB19D6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1B0D78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08F8F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5ECC6ECF" w14:textId="77777777">
        <w:trPr>
          <w:trHeight w:val="570"/>
        </w:trPr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3D8964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 Качество</w:t>
            </w:r>
          </w:p>
        </w:tc>
      </w:tr>
      <w:tr w:rsidR="009D42B3" w:rsidRPr="009D42B3" w14:paraId="587A7733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C3DEDA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2.1. % (доля) потребителей, удовлетворенных качеством процесса предоставления услуги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49415C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5D6367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BB3F5D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28DB4A75" w14:textId="77777777">
        <w:trPr>
          <w:trHeight w:val="570"/>
        </w:trPr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3BC401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 Доступность</w:t>
            </w:r>
          </w:p>
        </w:tc>
      </w:tr>
      <w:tr w:rsidR="009D42B3" w:rsidRPr="009D42B3" w14:paraId="3529EC24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43A26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3.1. % (доля) потребителей, удовлетворенных качеством и информацией о порядке предоставления услуги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F7C73B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2ECFD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6A757C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6CAAACD5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54EF9B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3.2. % (доля) услуг, информация о которых доступна в электронном формате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8CE92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998E5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8B6B92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4AD821F2" w14:textId="77777777">
        <w:trPr>
          <w:trHeight w:val="570"/>
        </w:trPr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B55DB0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4. Процесс обжалования</w:t>
            </w:r>
          </w:p>
        </w:tc>
      </w:tr>
      <w:tr w:rsidR="009D42B3" w:rsidRPr="009D42B3" w14:paraId="59CF6450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9B282A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4.1. % (доля) потребителей,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удовлетворенных существующим</w:t>
            </w: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порядком обжалования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60B8A3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815D7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A9DAA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9D42B3" w:rsidRPr="009D42B3" w14:paraId="627CD0BD" w14:textId="77777777">
        <w:trPr>
          <w:trHeight w:val="570"/>
        </w:trPr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483DF0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5. Вежливость</w:t>
            </w:r>
          </w:p>
        </w:tc>
      </w:tr>
      <w:tr w:rsidR="009D42B3" w:rsidRPr="009D42B3" w14:paraId="3654900A" w14:textId="77777777">
        <w:trPr>
          <w:trHeight w:val="570"/>
        </w:trPr>
        <w:tc>
          <w:tcPr>
            <w:tcW w:w="38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60D779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9D42B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5.1. % (доля) потребителей, удовлетворенных вежливостью персонала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371D9D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77F603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0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25B318" w14:textId="77777777" w:rsidR="009D42B3" w:rsidRPr="009D42B3" w:rsidRDefault="009D42B3" w:rsidP="009D42B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00429B72" w14:textId="77777777" w:rsidR="009D702E" w:rsidRPr="009D42B3" w:rsidRDefault="009D702E" w:rsidP="009D42B3">
      <w:pPr>
        <w:rPr>
          <w:rFonts w:ascii="Times New Roman" w:hAnsi="Times New Roman" w:cs="Times New Roman"/>
          <w:sz w:val="24"/>
          <w:szCs w:val="24"/>
          <w:lang w:val="ru-KZ"/>
        </w:rPr>
      </w:pPr>
    </w:p>
    <w:sectPr w:rsidR="009D702E" w:rsidRPr="009D42B3" w:rsidSect="009D42B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12ED"/>
    <w:multiLevelType w:val="hybridMultilevel"/>
    <w:tmpl w:val="6D5A8362"/>
    <w:lvl w:ilvl="0" w:tplc="2000000F">
      <w:start w:val="1"/>
      <w:numFmt w:val="decimal"/>
      <w:lvlText w:val="%1."/>
      <w:lvlJc w:val="left"/>
      <w:pPr>
        <w:ind w:left="1210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-2389" w:hanging="360"/>
      </w:pPr>
    </w:lvl>
    <w:lvl w:ilvl="2" w:tplc="0419001B" w:tentative="1">
      <w:start w:val="1"/>
      <w:numFmt w:val="lowerRoman"/>
      <w:lvlText w:val="%3."/>
      <w:lvlJc w:val="right"/>
      <w:pPr>
        <w:ind w:left="-1669" w:hanging="180"/>
      </w:pPr>
    </w:lvl>
    <w:lvl w:ilvl="3" w:tplc="0419000F" w:tentative="1">
      <w:start w:val="1"/>
      <w:numFmt w:val="decimal"/>
      <w:lvlText w:val="%4."/>
      <w:lvlJc w:val="left"/>
      <w:pPr>
        <w:ind w:left="-949" w:hanging="360"/>
      </w:pPr>
    </w:lvl>
    <w:lvl w:ilvl="4" w:tplc="04190019" w:tentative="1">
      <w:start w:val="1"/>
      <w:numFmt w:val="lowerLetter"/>
      <w:lvlText w:val="%5."/>
      <w:lvlJc w:val="left"/>
      <w:pPr>
        <w:ind w:left="-229" w:hanging="360"/>
      </w:pPr>
    </w:lvl>
    <w:lvl w:ilvl="5" w:tplc="0419001B" w:tentative="1">
      <w:start w:val="1"/>
      <w:numFmt w:val="lowerRoman"/>
      <w:lvlText w:val="%6."/>
      <w:lvlJc w:val="right"/>
      <w:pPr>
        <w:ind w:left="491" w:hanging="180"/>
      </w:pPr>
    </w:lvl>
    <w:lvl w:ilvl="6" w:tplc="0419000F" w:tentative="1">
      <w:start w:val="1"/>
      <w:numFmt w:val="decimal"/>
      <w:lvlText w:val="%7."/>
      <w:lvlJc w:val="left"/>
      <w:pPr>
        <w:ind w:left="1211" w:hanging="360"/>
      </w:pPr>
    </w:lvl>
    <w:lvl w:ilvl="7" w:tplc="04190019" w:tentative="1">
      <w:start w:val="1"/>
      <w:numFmt w:val="lowerLetter"/>
      <w:lvlText w:val="%8."/>
      <w:lvlJc w:val="left"/>
      <w:pPr>
        <w:ind w:left="1931" w:hanging="360"/>
      </w:pPr>
    </w:lvl>
    <w:lvl w:ilvl="8" w:tplc="0419001B" w:tentative="1">
      <w:start w:val="1"/>
      <w:numFmt w:val="lowerRoman"/>
      <w:lvlText w:val="%9."/>
      <w:lvlJc w:val="right"/>
      <w:pPr>
        <w:ind w:left="2651" w:hanging="180"/>
      </w:pPr>
    </w:lvl>
  </w:abstractNum>
  <w:num w:numId="1" w16cid:durableId="175046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2B3"/>
    <w:rsid w:val="008012E6"/>
    <w:rsid w:val="009D42B3"/>
    <w:rsid w:val="009D702E"/>
    <w:rsid w:val="00CB6EE4"/>
    <w:rsid w:val="00E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4A24"/>
  <w15:chartTrackingRefBased/>
  <w15:docId w15:val="{47B2DFA8-B2FB-42FA-844F-EE82BBE1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2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2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2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2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2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2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2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2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2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2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4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4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4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42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42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42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42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42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42B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D42B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D42B3"/>
    <w:rPr>
      <w:color w:val="605E5C"/>
      <w:shd w:val="clear" w:color="auto" w:fill="E1DFDD"/>
    </w:rPr>
  </w:style>
  <w:style w:type="paragraph" w:styleId="ae">
    <w:name w:val="No Spacing"/>
    <w:qFormat/>
    <w:rsid w:val="009D42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rus/docs/V13R0000992" TargetMode="External"/><Relationship Id="rId13" Type="http://schemas.openxmlformats.org/officeDocument/2006/relationships/hyperlink" Target="https://old.adilet.zan.kz/rus/docs/V13R0000992" TargetMode="External"/><Relationship Id="rId18" Type="http://schemas.openxmlformats.org/officeDocument/2006/relationships/hyperlink" Target="https://old.adilet.zan.kz/rus/docs/V13R0000992" TargetMode="External"/><Relationship Id="rId26" Type="http://schemas.openxmlformats.org/officeDocument/2006/relationships/hyperlink" Target="https://old.adilet.zan.kz/rus/docs/V13R000099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ld.adilet.zan.kz/rus/docs/V13R0000992" TargetMode="External"/><Relationship Id="rId7" Type="http://schemas.openxmlformats.org/officeDocument/2006/relationships/hyperlink" Target="https://old.adilet.zan.kz/rus/docs/P1200001119" TargetMode="External"/><Relationship Id="rId12" Type="http://schemas.openxmlformats.org/officeDocument/2006/relationships/hyperlink" Target="https://old.adilet.zan.kz/rus/docs/V13R0000992" TargetMode="External"/><Relationship Id="rId17" Type="http://schemas.openxmlformats.org/officeDocument/2006/relationships/hyperlink" Target="https://old.adilet.zan.kz/rus/docs/P1200001119" TargetMode="External"/><Relationship Id="rId25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old.adilet.zan.kz/rus/docs/V13R0000992" TargetMode="External"/><Relationship Id="rId20" Type="http://schemas.openxmlformats.org/officeDocument/2006/relationships/hyperlink" Target="https://old.adilet.zan.kz/rus/docs/V13R0000992" TargetMode="External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https://old.adilet.zan.kz/rus/docs/Z1300000088" TargetMode="External"/><Relationship Id="rId11" Type="http://schemas.openxmlformats.org/officeDocument/2006/relationships/hyperlink" Target="https://old.adilet.zan.kz/rus/docs/P1200001119" TargetMode="External"/><Relationship Id="rId24" Type="http://schemas.openxmlformats.org/officeDocument/2006/relationships/image" Target="media/image1.jpeg"/><Relationship Id="rId5" Type="http://schemas.openxmlformats.org/officeDocument/2006/relationships/hyperlink" Target="https://old.adilet.zan.kz/rus/docs/Z010000148_" TargetMode="External"/><Relationship Id="rId15" Type="http://schemas.openxmlformats.org/officeDocument/2006/relationships/hyperlink" Target="https://old.adilet.zan.kz/rus/docs/P1200001119" TargetMode="External"/><Relationship Id="rId23" Type="http://schemas.openxmlformats.org/officeDocument/2006/relationships/hyperlink" Target="https://old.adilet.zan.kz/rus/docs/V13R0000992" TargetMode="External"/><Relationship Id="rId28" Type="http://schemas.openxmlformats.org/officeDocument/2006/relationships/image" Target="media/image4.jpeg"/><Relationship Id="rId10" Type="http://schemas.openxmlformats.org/officeDocument/2006/relationships/hyperlink" Target="https://old.adilet.zan.kz/rus/docs/Z070000217_" TargetMode="External"/><Relationship Id="rId19" Type="http://schemas.openxmlformats.org/officeDocument/2006/relationships/hyperlink" Target="https://old.adilet.zan.kz/rus/docs/P120000111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ld.adilet.zan.kz/rus/docs/Z070000319_" TargetMode="External"/><Relationship Id="rId14" Type="http://schemas.openxmlformats.org/officeDocument/2006/relationships/hyperlink" Target="https://old.adilet.zan.kz/rus/docs/P1200001119" TargetMode="External"/><Relationship Id="rId22" Type="http://schemas.openxmlformats.org/officeDocument/2006/relationships/hyperlink" Target="https://old.adilet.zan.kz/rus/docs/V13R0000992" TargetMode="External"/><Relationship Id="rId27" Type="http://schemas.openxmlformats.org/officeDocument/2006/relationships/image" Target="media/image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3355</Words>
  <Characters>19124</Characters>
  <Application>Microsoft Office Word</Application>
  <DocSecurity>0</DocSecurity>
  <Lines>159</Lines>
  <Paragraphs>44</Paragraphs>
  <ScaleCrop>false</ScaleCrop>
  <Company/>
  <LinksUpToDate>false</LinksUpToDate>
  <CharactersWithSpaces>22435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2026-09-22T10:41:00Z</dcterms:created>
  <dcterms:modified xsi:type="dcterms:W3CDTF">2026-09-22T10:43:00Z</dcterms:modified>
</cp:coreProperties>
</file>